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57" w:after="159"/>
        <w:ind w:hanging="0"/>
        <w:jc w:val="right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 xml:space="preserve">Załącznik nr 1 </w:t>
      </w:r>
    </w:p>
    <w:p>
      <w:pPr>
        <w:pStyle w:val="Normal"/>
        <w:spacing w:lineRule="auto" w:line="276" w:before="57" w:after="159"/>
        <w:ind w:hanging="0"/>
        <w:jc w:val="right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 xml:space="preserve">do zapytania ofertowego </w:t>
      </w:r>
    </w:p>
    <w:p>
      <w:pPr>
        <w:pStyle w:val="Normal"/>
        <w:spacing w:lineRule="auto" w:line="276" w:before="57" w:after="159"/>
        <w:ind w:hanging="0"/>
        <w:jc w:val="right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>nr MGOPS-KO.221.0</w:t>
      </w:r>
      <w:r>
        <w:rPr>
          <w:rFonts w:cs="Calibri" w:cstheme="minorHAnsi"/>
          <w:b/>
          <w:bCs/>
          <w:sz w:val="16"/>
          <w:szCs w:val="16"/>
        </w:rPr>
        <w:t>1</w:t>
      </w:r>
      <w:r>
        <w:rPr>
          <w:rFonts w:cs="Calibri" w:cstheme="minorHAnsi"/>
          <w:b/>
          <w:bCs/>
          <w:sz w:val="16"/>
          <w:szCs w:val="16"/>
        </w:rPr>
        <w:t xml:space="preserve">.2023  z dnia </w:t>
      </w:r>
      <w:r>
        <w:rPr>
          <w:rFonts w:cs="Calibri" w:cstheme="minorHAnsi"/>
          <w:b/>
          <w:bCs/>
          <w:sz w:val="16"/>
          <w:szCs w:val="16"/>
        </w:rPr>
        <w:t>07</w:t>
      </w:r>
      <w:r>
        <w:rPr>
          <w:rFonts w:cs="Calibri" w:cstheme="minorHAnsi"/>
          <w:b/>
          <w:bCs/>
          <w:sz w:val="16"/>
          <w:szCs w:val="16"/>
        </w:rPr>
        <w:t>.0</w:t>
      </w:r>
      <w:r>
        <w:rPr>
          <w:rFonts w:cs="Calibri" w:cstheme="minorHAnsi"/>
          <w:b/>
          <w:bCs/>
          <w:sz w:val="16"/>
          <w:szCs w:val="16"/>
        </w:rPr>
        <w:t>9</w:t>
      </w:r>
      <w:r>
        <w:rPr>
          <w:rFonts w:cs="Calibri" w:cstheme="minorHAnsi"/>
          <w:b/>
          <w:bCs/>
          <w:sz w:val="16"/>
          <w:szCs w:val="16"/>
        </w:rPr>
        <w:t>.2023 r.</w:t>
      </w:r>
    </w:p>
    <w:p>
      <w:pPr>
        <w:pStyle w:val="Normal"/>
        <w:spacing w:lineRule="auto" w:line="276" w:before="240" w:after="160"/>
        <w:ind w:hanging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240" w:after="160"/>
        <w:ind w:hanging="0"/>
        <w:jc w:val="center"/>
        <w:rPr>
          <w:rFonts w:cs="Calibri" w:cstheme="minorHAnsi"/>
        </w:rPr>
      </w:pPr>
      <w:r>
        <w:rPr>
          <w:rFonts w:cs="Calibri" w:cstheme="minorHAnsi"/>
          <w:b/>
          <w:bCs/>
        </w:rPr>
        <w:t>OPIS PRZEDMIOTU ZAMÓWIENIA</w:t>
      </w:r>
    </w:p>
    <w:tbl>
      <w:tblPr>
        <w:tblW w:w="90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69"/>
      </w:tblGrid>
      <w:tr>
        <w:trPr/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jc w:val="left"/>
              <w:rPr/>
            </w:pPr>
            <w:r>
              <w:rPr>
                <w:rFonts w:cs="Calibri" w:cstheme="minorHAnsi"/>
                <w:b/>
                <w:bCs/>
              </w:rPr>
              <w:t>1. Opis przedmiotu zamówienia</w:t>
            </w:r>
          </w:p>
        </w:tc>
      </w:tr>
    </w:tbl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>Usługa składa się z następujących zadań: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/>
        </w:rPr>
        <w:t>1.1. Przeprowadzenie badań diagnostycznych, rozumiane jako pozyskiwanie danych za pomocą analizy materiałów zastanych, ankiet, wywiadów takich jak diagnozy, badania społeczne, ewaluacje, zgodnie z wymogami niniejszego opisu przedmiotu zamówienia.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/>
        </w:rPr>
        <w:t xml:space="preserve">1.2 Opracowanie bazy odpowiedzi, przeprowadzenie analiz uzyskanych informacji pozyskanych </w:t>
        <w:br/>
        <w:t>w trakcie prowadzonych badań.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/>
        </w:rPr>
        <w:t>1.3. Sporządzenie raportu z wykonania badania oraz sformułowanie wniosków dotyczących uzyskanych wyników.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Calibri" w:cstheme="minorHAnsi"/>
          <w:b w:val="false"/>
          <w:bCs w:val="false"/>
          <w:u w:val="none"/>
        </w:rPr>
        <w:t xml:space="preserve">1.4. Zamawiający będzie uczestniczył w każdym etapie przeprowadzania diagnozy potencjałów </w:t>
        <w:br/>
        <w:t>i potrzeb w zakresie usług społecznych.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0"/>
              <w:rPr/>
            </w:pPr>
            <w:r>
              <w:rPr>
                <w:b/>
                <w:bCs/>
              </w:rPr>
              <w:t>2. Szczegółowy o</w:t>
            </w:r>
            <w:r>
              <w:rPr>
                <w:rFonts w:cs="Times New Roman"/>
                <w:b/>
                <w:bCs/>
              </w:rPr>
              <w:t>pis przedmiotu zamówienia</w: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b/>
        </w:rPr>
        <w:t>2.1. Przeprowadzenie rozpoznania potrzeb, zasobów i potencjałów w zakresie usług społecznych na terenie gminy Pleszew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/>
        </w:rPr>
        <w:t xml:space="preserve">Celem badania uczestników jest zidentyfikowanie potrzeb i oczekiwań mieszkańców gminy Pleszew </w:t>
        <w:br/>
        <w:t>w zakresie usług społecznych oraz potencjałów organizacji pozarządowych i innych podmiotów świadczących usługi społeczne w zakresie w/w usług. Także rozpoznanie poziomu aktywności społecznej, zaangażowania mieszkańców i wykorzystania potencjału.  Szczegółowe obszary jakie mają zostać poddane badaniu i analizie to: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/>
        </w:rPr>
        <w:t>2.1.1. Analiza stanu obecnego (wyjściowego):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Times New Roman"/>
        </w:rPr>
      </w:pPr>
      <w:r>
        <w:rPr>
          <w:rFonts w:cs="Times New Roman"/>
        </w:rPr>
        <w:t>określenie obecnego popytu na usługi społeczne;</w:t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/>
        </w:rPr>
        <w:t>2.1.2. Analiza popytu na ofertę: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Times New Roman"/>
        </w:rPr>
      </w:pPr>
      <w:r>
        <w:rPr>
          <w:rFonts w:cs="Times New Roman"/>
        </w:rPr>
        <w:t>określenie zapotrzebowania na usługi społeczne,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Times New Roman"/>
        </w:rPr>
      </w:pPr>
      <w:r>
        <w:rPr>
          <w:rFonts w:cs="Times New Roman"/>
        </w:rPr>
        <w:t>określenie przyszłego (zakładanego) zainteresowania usługami społecznymi (liczba nowych odbiorców, zmiany jakościowe w zakresie oferowanych usług),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Times New Roman"/>
        </w:rPr>
      </w:pPr>
      <w:r>
        <w:rPr>
          <w:rFonts w:cs="Times New Roman"/>
        </w:rPr>
        <w:t>zidentyfikowanie grup odbiorców i dostawców usług społecznych wraz z określeniem ich profilu i charakterystyką.</w:t>
      </w:r>
    </w:p>
    <w:p>
      <w:pPr>
        <w:pStyle w:val="Normal"/>
        <w:ind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Calibri" w:hAnsi="Calibri" w:cs="Times New Roman"/>
          <w:b/>
          <w:bCs/>
        </w:rPr>
      </w:pPr>
      <w:r>
        <w:rPr>
          <w:rFonts w:cs="Calibri" w:cstheme="minorHAnsi"/>
          <w:b/>
          <w:bCs/>
          <w:u w:val="none"/>
        </w:rPr>
        <w:t>2.2. Metody i narzędzia badawcze:</w:t>
      </w:r>
    </w:p>
    <w:p>
      <w:pPr>
        <w:pStyle w:val="Normal"/>
        <w:spacing w:lineRule="auto" w:line="240" w:before="0" w:after="0"/>
        <w:ind w:hanging="0"/>
        <w:jc w:val="both"/>
        <w:rPr>
          <w:b/>
          <w:bCs/>
          <w:u w:val="none"/>
        </w:rPr>
      </w:pPr>
      <w:r>
        <w:rPr>
          <w:rFonts w:cs="Calibri" w:cstheme="minorHAnsi"/>
          <w:b/>
          <w:bCs/>
          <w:u w:val="none"/>
        </w:rPr>
        <w:t>2.2.1. Metoda I – analiza desk research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Cs w:val="false"/>
          <w:u w:val="none"/>
        </w:rPr>
      </w:pPr>
      <w:r>
        <w:rPr>
          <w:rFonts w:cs="Calibri" w:cstheme="minorHAnsi"/>
          <w:b/>
          <w:bCs/>
          <w:u w:val="none"/>
        </w:rPr>
        <w:t>Cel badania:</w:t>
      </w:r>
      <w:r>
        <w:rPr>
          <w:rFonts w:cs="Calibri" w:cstheme="minorHAnsi"/>
          <w:b w:val="false"/>
          <w:bCs w:val="false"/>
          <w:u w:val="none"/>
        </w:rPr>
        <w:t xml:space="preserve"> wskazanie potrzeb w zakresie świadczonych usług społecznych  i działań wspierających.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Cs w:val="false"/>
          <w:u w:val="none"/>
        </w:rPr>
      </w:pPr>
      <w:r>
        <w:rPr>
          <w:rFonts w:cs="Calibri" w:cstheme="minorHAnsi"/>
          <w:b w:val="false"/>
          <w:bCs w:val="false"/>
          <w:u w:val="none"/>
        </w:rPr>
        <w:t xml:space="preserve">Analiza kluczowych dokumentów (źródeł wtórnych) w zakresie polityki społecznej, dokumenty strategiczne gminy, w tym szczególnie: </w:t>
      </w:r>
    </w:p>
    <w:p>
      <w:pPr>
        <w:pStyle w:val="Normal"/>
        <w:spacing w:lineRule="atLeast" w:line="11" w:before="0" w:after="0"/>
        <w:ind w:left="0" w:right="0" w:hanging="0"/>
        <w:jc w:val="both"/>
        <w:rPr>
          <w:rFonts w:eastAsia="Calibri" w:cs=""/>
          <w:b w:val="false"/>
          <w:bCs w:val="false"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"/>
          <w:b w:val="false"/>
          <w:bCs w:val="false"/>
          <w:kern w:val="2"/>
          <w:sz w:val="22"/>
          <w:szCs w:val="22"/>
          <w:u w:val="none"/>
          <w:lang w:val="pl-PL" w:eastAsia="en-US" w:bidi="ar-SA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3" w:right="0" w:hanging="0"/>
        <w:jc w:val="both"/>
        <w:rPr/>
      </w:pPr>
      <w:r>
        <w:rPr>
          <w:rFonts w:eastAsia="Calibri" w:cs="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>Strategia Rozwiązywania Problemów Społecznych,</w:t>
      </w:r>
    </w:p>
    <w:p>
      <w:pPr>
        <w:pStyle w:val="ListParagraph"/>
        <w:widowControl/>
        <w:numPr>
          <w:ilvl w:val="0"/>
          <w:numId w:val="5"/>
        </w:numPr>
        <w:spacing w:lineRule="auto" w:line="240" w:before="0" w:after="0"/>
        <w:ind w:left="283" w:right="0" w:hanging="0"/>
        <w:contextualSpacing w:val="false"/>
        <w:jc w:val="both"/>
        <w:rPr/>
      </w:pPr>
      <w:r>
        <w:rPr>
          <w:rFonts w:eastAsia="Calibri" w:cs=""/>
          <w:kern w:val="2"/>
          <w:sz w:val="22"/>
          <w:szCs w:val="22"/>
          <w:lang w:val="pl-PL" w:eastAsia="en-US" w:bidi="ar-SA"/>
        </w:rPr>
        <w:t>dane z GUS/BDL</w:t>
      </w:r>
    </w:p>
    <w:p>
      <w:pPr>
        <w:pStyle w:val="ListParagraph"/>
        <w:widowControl/>
        <w:numPr>
          <w:ilvl w:val="0"/>
          <w:numId w:val="5"/>
        </w:numPr>
        <w:spacing w:lineRule="auto" w:line="240" w:before="0" w:after="0"/>
        <w:ind w:left="283" w:right="0" w:hanging="0"/>
        <w:contextualSpacing w:val="false"/>
        <w:jc w:val="both"/>
        <w:rPr/>
      </w:pPr>
      <w:r>
        <w:rPr>
          <w:rFonts w:eastAsia="Calibri" w:cs=""/>
          <w:kern w:val="2"/>
          <w:sz w:val="22"/>
          <w:szCs w:val="22"/>
          <w:lang w:val="pl-PL" w:eastAsia="en-US" w:bidi="ar-SA"/>
        </w:rPr>
        <w:t xml:space="preserve">sprawozdania z realizacji zadań gminy, w tym szczególnie w zakresie pomocy społecznej, w tym Ocena Zasobów Pomocy Społecznej, MRiPS, sprawozdania z realizacji ustawy o wspieraniu rodziny </w:t>
        <w:br/>
        <w:t>i systemie pieczy zastępczej,</w:t>
      </w:r>
    </w:p>
    <w:p>
      <w:pPr>
        <w:pStyle w:val="ListParagraph"/>
        <w:widowControl/>
        <w:numPr>
          <w:ilvl w:val="0"/>
          <w:numId w:val="5"/>
        </w:numPr>
        <w:spacing w:lineRule="auto" w:line="240" w:before="0" w:after="0"/>
        <w:ind w:left="283" w:right="0" w:hanging="0"/>
        <w:contextualSpacing w:val="false"/>
        <w:jc w:val="both"/>
        <w:rPr/>
      </w:pPr>
      <w:r>
        <w:rPr>
          <w:rFonts w:eastAsia="Calibri" w:cs=""/>
          <w:kern w:val="2"/>
          <w:sz w:val="22"/>
          <w:szCs w:val="22"/>
          <w:lang w:val="pl-PL" w:eastAsia="en-US" w:bidi="ar-SA"/>
        </w:rPr>
        <w:t>inne dokumenty gminne o charakterze diagnostycznym, badawczym i ewaluacyjnym,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3" w:right="0" w:hanging="0"/>
        <w:jc w:val="both"/>
        <w:rPr/>
      </w:pPr>
      <w:r>
        <w:rPr>
          <w:rFonts w:eastAsia="Calibri" w:cs="Calibri" w:cstheme="minorHAnsi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 xml:space="preserve">materiały eksperckie dot. tworzenia CUS zamieszczone na stronie: </w:t>
      </w:r>
      <w:r>
        <w:rPr>
          <w:rStyle w:val="Czeinternetowe"/>
          <w:rFonts w:eastAsia="Calibri" w:cs="Calibri" w:cstheme="minorHAnsi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>https://www.prezydent.pl/aktualnosci/inicjatywy/centrum-uslug-spolecznych/materialy-do-pobrania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/>
          <w:b/>
          <w:bCs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Calibri" w:cstheme="minorHAnsi"/>
          <w:b/>
          <w:bCs/>
          <w:kern w:val="2"/>
          <w:sz w:val="22"/>
          <w:szCs w:val="22"/>
          <w:u w:val="none"/>
          <w:lang w:val="pl-PL" w:eastAsia="en-US" w:bidi="ar-SA"/>
        </w:rPr>
        <w:t>2.2.2. Metoda II – indywidualne wywiady pogłębione (IDI/TDI) –</w:t>
      </w:r>
      <w:r>
        <w:rPr>
          <w:rFonts w:eastAsia="Calibri" w:cs="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 xml:space="preserve"> z minimum 10 osobami będącymi przedstawicielami </w:t>
      </w:r>
      <w:r>
        <w:rPr>
          <w:rStyle w:val="Strong"/>
          <w:rFonts w:eastAsia="Calibri" w:cs="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>lokalnych ekspertów, liderów lokalnych, samorządowców, NGO itp.</w:t>
      </w:r>
      <w:r>
        <w:rPr>
          <w:rFonts w:eastAsia="Calibri" w:cs="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 xml:space="preserve"> 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/>
          <w:b/>
          <w:bCs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Calibri" w:cstheme="minorHAnsi"/>
          <w:b/>
          <w:bCs/>
          <w:kern w:val="2"/>
          <w:sz w:val="22"/>
          <w:szCs w:val="22"/>
          <w:u w:val="none"/>
          <w:lang w:val="pl-PL" w:eastAsia="en-US" w:bidi="ar-SA"/>
        </w:rPr>
        <w:t xml:space="preserve">Cel badania: </w:t>
      </w:r>
      <w:r>
        <w:rPr>
          <w:rFonts w:eastAsia="Calibri" w:cs="Calibri" w:cstheme="minorHAnsi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>analiza potrzeb mieszkańców w zakresie usług społecznych i działań wspierających z wykorzystaniem potencjału organizacji pozarządowych, z uwzględnieniem zasobów organizacji pozarządowych służących zaspokajaniu potrzeb w omawianym zakresie.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/>
          <w:b/>
          <w:bCs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Calibri" w:cstheme="minorHAnsi"/>
          <w:b/>
          <w:bCs/>
          <w:kern w:val="2"/>
          <w:sz w:val="22"/>
          <w:szCs w:val="22"/>
          <w:u w:val="none"/>
          <w:lang w:val="pl-PL" w:eastAsia="en-US" w:bidi="ar-SA"/>
        </w:rPr>
        <w:t>2.2.3. Metoda III – Ankiety CAWI/</w:t>
      </w: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  <w:t xml:space="preserve">PAPI </w:t>
      </w:r>
      <w:r>
        <w:rPr>
          <w:rFonts w:eastAsia="Calibri" w:cs="Calibri" w:cstheme="minorHAnsi"/>
          <w:b w:val="false"/>
          <w:bCs w:val="false"/>
          <w:kern w:val="2"/>
          <w:sz w:val="22"/>
          <w:szCs w:val="22"/>
          <w:u w:val="none"/>
          <w:lang w:val="pl-PL" w:eastAsia="en-US" w:bidi="ar-SA"/>
        </w:rPr>
        <w:t>– z minimum 500 mieszkańcami miasta i gminy.</w:t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u w:val="none"/>
          <w:lang w:val="pl-PL" w:eastAsia="en-US" w:bidi="ar-SA"/>
        </w:rPr>
        <w:t xml:space="preserve">Ponadto kwestionariusz zostanie udostępniony zamawiającemu w celu umieszczenia na stronie internetowej. 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  <w:t>Cel badania:</w:t>
      </w: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u w:val="none"/>
          <w:lang w:val="pl-PL" w:eastAsia="en-US" w:bidi="ar-SA"/>
        </w:rPr>
        <w:t xml:space="preserve"> analiza potrzeb i potencjału mieszkańców gminy Pleszew w zakresie usług społecznych i działań wspierających, zbadanie opinii mieszkańców na temat odpłatności za usługi społeczne.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  <w:b w:val="false"/>
          <w:bCs w:val="false"/>
          <w:color w:val="C9211E"/>
        </w:rPr>
      </w:pPr>
      <w:r>
        <w:rPr>
          <w:rFonts w:cs="Calibri" w:cstheme="minorHAnsi"/>
          <w:b w:val="false"/>
          <w:bCs w:val="false"/>
          <w:color w:val="C9211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  <w:t>2.2.4. Metoda IV – Zogniskowane Wywiady Grupowe – minimum 6 a maksymalnie 12 uczestników -</w:t>
      </w:r>
      <w:r>
        <w:rPr>
          <w:rFonts w:eastAsia="Calibri" w:cs=""/>
          <w:b/>
          <w:bCs/>
          <w:color w:val="000000"/>
          <w:kern w:val="2"/>
          <w:sz w:val="22"/>
          <w:szCs w:val="22"/>
          <w:u w:val="none"/>
          <w:lang w:val="pl-PL" w:eastAsia="en-US" w:bidi="ar-SA"/>
        </w:rPr>
        <w:t xml:space="preserve"> </w:t>
        <w:br/>
      </w:r>
      <w:r>
        <w:rPr>
          <w:rFonts w:eastAsia="Calibri" w:cs=""/>
          <w:b/>
          <w:bCs/>
          <w:kern w:val="2"/>
          <w:sz w:val="22"/>
          <w:szCs w:val="22"/>
          <w:lang w:val="pl-PL" w:eastAsia="en-US" w:bidi="ar-SA"/>
        </w:rPr>
        <w:t>6 wywiadów po jednym dla każdej z wymienionych niżej grup: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"/>
          <w:kern w:val="2"/>
          <w:sz w:val="22"/>
          <w:szCs w:val="22"/>
          <w:lang w:val="pl-PL" w:eastAsia="en-US" w:bidi="ar-SA"/>
        </w:rPr>
        <w:t>- 1 z przedstawicielami instytucji gminnych, w tym OPS, instytucjami edukacji, kultury, systemu ochrony zdrowia,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"/>
          <w:kern w:val="2"/>
          <w:sz w:val="22"/>
          <w:szCs w:val="22"/>
          <w:lang w:val="pl-PL" w:eastAsia="en-US" w:bidi="ar-SA"/>
        </w:rPr>
        <w:t>-  1 z mieszkańcami osiedli mieszkalnych,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- 1 z przedstawicielami NGO/PES/przedsiębiorcami  realizującymi usługi społeczne</w:t>
      </w:r>
      <w:r>
        <w:rPr>
          <w:rFonts w:eastAsia="Calibri" w:cs=""/>
          <w:kern w:val="2"/>
          <w:sz w:val="22"/>
          <w:szCs w:val="22"/>
          <w:lang w:val="pl-PL" w:eastAsia="en-US" w:bidi="ar-SA"/>
        </w:rPr>
        <w:t>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- 1 z młodzieżą</w:t>
      </w:r>
      <w:r>
        <w:rPr>
          <w:rFonts w:eastAsia="Calibri" w:cs=""/>
          <w:kern w:val="2"/>
          <w:sz w:val="22"/>
          <w:szCs w:val="22"/>
          <w:lang w:val="pl-PL" w:eastAsia="en-US" w:bidi="ar-SA"/>
        </w:rPr>
        <w:t>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- 1 z osobami starszymi oraz z niepełnosprawnościami</w:t>
      </w:r>
      <w:r>
        <w:rPr>
          <w:rFonts w:eastAsia="Calibri" w:cs=""/>
          <w:kern w:val="2"/>
          <w:sz w:val="22"/>
          <w:szCs w:val="22"/>
          <w:lang w:val="pl-PL" w:eastAsia="en-US" w:bidi="ar-SA"/>
        </w:rPr>
        <w:t>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- 1 z przedsiębiorcami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b/>
          <w:bCs/>
          <w:kern w:val="2"/>
          <w:sz w:val="22"/>
          <w:szCs w:val="22"/>
          <w:lang w:val="pl-PL" w:eastAsia="en-US" w:bidi="ar-SA"/>
        </w:rPr>
        <w:t>Cel badania:</w:t>
      </w: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 xml:space="preserve"> rekomendacje dotyczące koordynacji, komunikacji pomiędzy poszczególnymi instytucjami, rekomendacje dotyczące strategii promocji i komunikacji CUS oraz dotyczące odpłatności usług w CUS, rekomendacje dotyczące zlecenia usług. 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b/>
          <w:bCs/>
          <w:color w:val="000000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  <w:t>2.2.5. Metoda V – Warsztat rekomendacyjny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minimum 1 warsztat z kluczowymi przedstawicielami instytucji zaangażowanych w przekształcenie OPS w CUS.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b/>
          <w:bCs/>
          <w:kern w:val="2"/>
          <w:sz w:val="22"/>
          <w:szCs w:val="22"/>
          <w:lang w:val="pl-PL" w:eastAsia="en-US" w:bidi="ar-SA"/>
        </w:rPr>
        <w:t>Cel badania:</w:t>
      </w: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 xml:space="preserve"> Dyskusja z uczestnikami na temat przygotowanych i prezentowanych przez Wykonawcę rekomendacji.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b/>
          <w:bCs/>
          <w:kern w:val="2"/>
          <w:sz w:val="22"/>
          <w:szCs w:val="22"/>
          <w:lang w:val="pl-PL" w:eastAsia="en-US" w:bidi="ar-SA"/>
        </w:rPr>
        <w:t>2.2.6. Metoda VI - Konsultacje społeczne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"/>
          <w:kern w:val="2"/>
          <w:sz w:val="22"/>
          <w:szCs w:val="22"/>
          <w:lang w:val="pl-PL" w:eastAsia="en-US" w:bidi="ar-SA"/>
        </w:rPr>
      </w:r>
    </w:p>
    <w:p>
      <w:pPr>
        <w:pStyle w:val="Tre9c9ce6e6tekstu"/>
        <w:jc w:val="both"/>
        <w:rPr>
          <w:rFonts w:ascii="Calibri" w:hAnsi="Calibri" w:cs="Times New Roman"/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kern w:val="2"/>
          <w:sz w:val="22"/>
          <w:szCs w:val="22"/>
          <w:lang w:val="pl-PL" w:eastAsia="en-US" w:bidi="ar-SA"/>
        </w:rPr>
        <w:t xml:space="preserve">W ramach udzielanego zamówienia przeprowadzić należy co najmniej 3  bezpośrednie spotkania ze społecznością lokalną w ramach konsultacji społecznych. </w:t>
      </w:r>
    </w:p>
    <w:p>
      <w:pPr>
        <w:pStyle w:val="Tre9c9ce6e6tekstu"/>
        <w:jc w:val="both"/>
        <w:rPr>
          <w:rFonts w:ascii="Calibri" w:hAnsi="Calibri" w:cs="Times New Roman"/>
        </w:rPr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Przygotowanie diagnozy potrzeb i potencjału społeczności lokalnej w zakresie usług społecznych uwzględnia włączenie społeczności lokalnej gminy Pleszew w jego opracowanie, w celu zapewnienia realnego współdecydowania mieszkańców o kształcie wszystkich wymienionych działań projektowych.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Wykonawca może poszerzyć katalog metod/technik badawczych/danych źródłowych (z jednoczesnym przyporządkowaniem poszczególnych narzędzi).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b/>
          <w:bCs/>
          <w:color w:val="000000"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  <w:t>2.3. Cele i pytania badawcze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lef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 xml:space="preserve">Przeprowadzona diagnoza powinna odpowiedzieć na następujące pytania: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Cel 1: Diagnoza zapotrzebowania na usługi społeczne.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Jaka jest struktura mieszkańców gminy pod kątem: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gotowości do partycypacji społecznej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stanu więzi społecznych i rodzinnych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zaufania w społeczności lokalnej?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Jakie usługi społeczne (z katalogu zgodnego z ustawą o CUS oraz zakresem interwencji EFS z FEW 2021-2027) są najbardziej deficytowe w gminie?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 xml:space="preserve">Jakie usługi społeczne są najbardziej deficytowe z punktu widzenia władz gminy i instytucji gminnych? 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Jakie usługi społeczne są najbardziej deficytowe w punktu widzenia mieszkańców, w tym szczególnie OzN, osób starszych, ich opiekunów i rodzin?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Które z tych usług można określić jako interwencyjne (doraźne, ratujące sytuację w danej chwili), a które podnoszące jakość życia?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W jakim stopniu mieszkańcy są gotowi ponosić częściową odpłatność za usługi społeczne, których potrzebują? Jakiego rzędu mogłaby to być odpłatność?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 jaki sposób mieszkańcy chcieliby korzystać z usług (m.in. stacjonarnie w siedzibie gminy, czy z dojazdem do miejsca zamieszkania)?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 jakim stopniu dla mieszkańców istotny jest rodzaj realizatora usługi (podmiot publiczny, społeczny lub prywatny)?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W jakim stopniu potencjał realizatorów usług na terenie gminy pokrywa się z popytem na usługi wynikającym z diagnozy? 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Cel 2: Sformułowanie rekomendacji dot. przekształcenia OPS w CUS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W jaki sposób powinny być świadczone usługi w CUS, żeby świadczone wsparcie najlepiej odpowiadało ich potrzebom mieszkańców (m.in. mobilne vs. stacjonarne formy usługi)?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Jak, komunikować się z mieszkańcami, żeby skutecznie zachęcić do korzystania  innych mieszkańców gminy niż dotychczasowi klienci OPS?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Jak najlepiej można by było zorganizować współpracę pomiędzy instytucjami gminnymi a CUS?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Jak najlepiej można by było zorganizować realizację w gminie?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  <w:t xml:space="preserve">W jaki sposób zorganizować odpłatność usług, aby utrzymać zainteresowanie klientów i zapewnić trwałość świadczenia usług? </w:t>
      </w:r>
    </w:p>
    <w:p>
      <w:pPr>
        <w:pStyle w:val="ListParagraph"/>
        <w:jc w:val="both"/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ind w:left="720" w:hanging="0"/>
        <w:jc w:val="both"/>
        <w:rPr>
          <w:b/>
          <w:bCs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  <w:t>Zakres pytań badawczych może ulec zmianie w wyniku współpracy Zamawiającego z Wykonawcą.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ascii="Calibri" w:hAnsi="Calibri" w:eastAsia="Calibri" w:cs=""/>
          <w:kern w:val="2"/>
          <w:sz w:val="22"/>
          <w:szCs w:val="22"/>
          <w:lang w:val="pl-PL" w:eastAsia="en-US" w:bidi="ar-SA"/>
        </w:rPr>
      </w:pPr>
      <w:r>
        <w:rPr>
          <w:rFonts w:eastAsia="Calibri" w:cs=""/>
          <w:kern w:val="2"/>
          <w:sz w:val="22"/>
          <w:szCs w:val="22"/>
          <w:lang w:val="pl-PL" w:eastAsia="en-US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 xml:space="preserve">3. Raport </w:t>
            </w:r>
            <w:r>
              <w:rPr>
                <w:rFonts w:eastAsia="Calibri" w:cs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  <w:t>końcowy</w:t>
            </w:r>
          </w:p>
        </w:tc>
      </w:tr>
    </w:tbl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/>
          <w:bCs/>
          <w:kern w:val="2"/>
          <w:sz w:val="22"/>
          <w:szCs w:val="22"/>
          <w:lang w:val="pl-PL" w:eastAsia="en-US" w:bidi="ar-SA"/>
        </w:rPr>
        <w:t>3.1. Raport końcowy powinien: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precyzować potrzeby wspólnoty samorządowej w zakresie usług społecznych i działań wspierających,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- wskazywać zasoby organizacji pozarządowych służących zaspokajaniu potrzeb w zakresie usług społecznych i działań wspierających,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kern w:val="2"/>
          <w:sz w:val="22"/>
          <w:szCs w:val="22"/>
          <w:lang w:val="pl-PL" w:eastAsia="en-US" w:bidi="ar-SA"/>
        </w:rPr>
        <w:t>oraz zawierać: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stronę tytułową, spis treści, wykaz używanych skrótów,- wprowadzenie do tematyki zagrożeń społecznych w Gminie Pleszew,</w:t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- opis zastosowanej metodologii i przebiegu badania (m. in. opis koncepcji badania, celów badania </w:t>
        <w:br/>
        <w:t>i pytań badawczych, opis zastosowanych metod i narzędzi badawczych oraz opis próby badawczej),</w:t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przedstawienie i interpretację wyników części badawczej jakościowej i ilościowej w zakresie potrzeb i potencjału społeczności lokalnej Gminy Pleszew zawierających odpowiedzi na pytania badawcze,</w:t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wnioski z badania i rekomendacje sformułowane na podstawie otrzymanych wyników badania,</w:t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bibliografię,</w:t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wzory narzędzi badawczych.</w:t>
      </w:r>
    </w:p>
    <w:p>
      <w:pPr>
        <w:pStyle w:val="Tretekstu"/>
        <w:widowControl/>
        <w:spacing w:lineRule="auto" w:line="240"/>
        <w:ind w:left="0" w:right="0" w:hanging="0"/>
        <w:jc w:val="both"/>
        <w:rPr/>
      </w:pP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Raport końcowy należy sporządzić według reguł budowy raportu badawczego, wypracowanej wcześniej struktury raportu oraz według zasad gramatyki i redagowania tekstu.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  <w:t>3.2. Główne zadania i czynności oferenta: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jc w:val="both"/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przygotowanie narzędzi badawczych - sporządzenie kwestionariusza ankiety skierowanej do mieszkańców gminy Pleszew,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pozyskanie danych od respondentów (w tym od instytucji),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zebranie i rzetelna analiza zebranych danych ilościowych i jakościowych,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rekomendacje: sporządzenie i przekazanie raportu końcowego z badań,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produkty końcowe: - zebrane dane: tabele, wykresy (przekazane w wersji elektronicznej, edytowalnej, w programie EXCEL lub Word pakietu Microsoft Office na zewnętrznym nośniku danych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raport końcowym w wersji elektronicznej (edytowalnej w programie Word pakietu Microsoft Office i PDF – 1 egzemplarz na zewnętrznym nośniku danych),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/>
      </w:pPr>
      <w:r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  <w:t>- przekazanie praw autorskich do kwestionariusza ankiety, wyników badań oraz raportu końcowego.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/>
          <w:bCs/>
        </w:rPr>
      </w:pPr>
      <w:r>
        <w:rPr>
          <w:rFonts w:eastAsia="Calibri" w:cs="Calibri" w:cstheme="minorHAnsi"/>
          <w:b/>
          <w:bCs/>
          <w:color w:val="000000"/>
          <w:kern w:val="2"/>
          <w:sz w:val="22"/>
          <w:szCs w:val="22"/>
          <w:lang w:val="pl-PL" w:eastAsia="en-US" w:bidi="ar-SA"/>
        </w:rPr>
        <w:t>3.3. Współpraca z Zamawiającym: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a) Wykonawca zobowiązany jest do stałej współpracy z Zamawiającym poprzez: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zapewnienie możliwości kontaktu w trakcie realizacji usługi badania społecznego z każdym członkiem Zespołu badawczego.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bieżące informowanie o pojawiających się problemach i innych zagadnieniach istotnych dla realizacji badania;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przekazywanie cotygodniowych raportów z postępów realizacji badania w formie online;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spotkania w zależności od potrzeb Zamawiającego i Wykonawcy;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2"/>
          <w:sz w:val="22"/>
          <w:szCs w:val="22"/>
          <w:lang w:val="pl-PL" w:eastAsia="en-US" w:bidi="ar-SA"/>
        </w:rPr>
        <w:t>- stały kontakt telefoniczny oraz drogą elektroniczną.</w:t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pPr>
      <w:r>
        <w:rPr>
          <w:rFonts w:eastAsia="Calibri" w:cs="Calibri" w:cstheme="minorHAnsi"/>
          <w:color w:val="000000"/>
          <w:kern w:val="2"/>
          <w:sz w:val="22"/>
          <w:szCs w:val="22"/>
          <w:lang w:val="pl-PL" w:eastAsia="en-US" w:bidi="ar-SA"/>
        </w:rPr>
      </w:r>
    </w:p>
    <w:p>
      <w:pPr>
        <w:pStyle w:val="ListParagraph"/>
        <w:widowControl/>
        <w:spacing w:lineRule="auto" w:line="276" w:before="0" w:after="0"/>
        <w:ind w:left="0" w:hanging="0"/>
        <w:contextualSpacing/>
        <w:jc w:val="both"/>
        <w:rPr>
          <w:b/>
          <w:bCs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1418" w:top="1475" w:footer="1546" w:bottom="16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3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4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11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1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11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2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f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05fd3"/>
    <w:rPr/>
  </w:style>
  <w:style w:type="character" w:styleId="StopkaZnak" w:customStyle="1">
    <w:name w:val="Stopka Znak"/>
    <w:basedOn w:val="DefaultParagraphFont"/>
    <w:uiPriority w:val="99"/>
    <w:qFormat/>
    <w:rsid w:val="00a05fd3"/>
    <w:rPr/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2z0">
    <w:name w:val="WW8Num2z0"/>
    <w:qFormat/>
    <w:rPr>
      <w:rFonts w:ascii="Liberation Serif;Times New Roman" w:hAnsi="Liberation Serif;Times New Roman" w:cs="Liberation Serif;Times New Roman"/>
    </w:rPr>
  </w:style>
  <w:style w:type="character" w:styleId="WW8Num1z0">
    <w:name w:val="WW8Num1z0"/>
    <w:qFormat/>
    <w:rPr>
      <w:rFonts w:ascii="Liberation Serif;Times New Roman" w:hAnsi="Liberation Serif;Times New Roman" w:cs="Liberation Serif;Times New Roman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re9c9ce6e6tekstu">
    <w:name w:val="Treś9c9cće6e6 tekstu"/>
    <w:basedOn w:val="Normal"/>
    <w:qFormat/>
    <w:pPr>
      <w:spacing w:lineRule="auto" w:line="276" w:before="0" w:after="140"/>
    </w:pPr>
    <w:rPr>
      <w:lang w:bidi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LibreOffice/7.5.0.3$Windows_X86_64 LibreOffice_project/c21113d003cd3efa8c53188764377a8272d9d6de</Application>
  <AppVersion>15.0000</AppVersion>
  <Pages>5</Pages>
  <Words>1221</Words>
  <Characters>8353</Characters>
  <CharactersWithSpaces>9485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dc:description/>
  <dc:language>pl-PL</dc:language>
  <cp:lastModifiedBy/>
  <dcterms:modified xsi:type="dcterms:W3CDTF">2023-09-08T10:59:16Z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